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A4671" w14:textId="67BE6565" w:rsidR="00FD3EB3" w:rsidRDefault="26E22CE6">
      <w:r>
        <w:rPr>
          <w:noProof/>
          <w:lang w:eastAsia="en-GB"/>
        </w:rPr>
        <w:drawing>
          <wp:inline distT="0" distB="0" distL="0" distR="0" wp14:anchorId="49DD5583" wp14:editId="430D7454">
            <wp:extent cx="2590800" cy="676275"/>
            <wp:effectExtent l="0" t="0" r="0" b="0"/>
            <wp:docPr id="1843315039" name="Picture 184331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FD3564" w14:textId="336BEC53" w:rsidR="00FD3EB3" w:rsidRDefault="1E417F51">
      <w:r>
        <w:rPr>
          <w:noProof/>
          <w:lang w:eastAsia="en-GB"/>
        </w:rPr>
        <w:drawing>
          <wp:inline distT="0" distB="0" distL="0" distR="0" wp14:anchorId="4787955D" wp14:editId="17A1AAA7">
            <wp:extent cx="5724524" cy="2552700"/>
            <wp:effectExtent l="0" t="0" r="0" b="0"/>
            <wp:docPr id="85970533" name="Picture 8597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7FE53" w14:textId="208BD090" w:rsidR="00FD3EB3" w:rsidRDefault="00F21611" w:rsidP="31E5DFE6">
      <w:pPr>
        <w:rPr>
          <w:rFonts w:ascii="Segoe UI" w:eastAsia="Segoe UI" w:hAnsi="Segoe UI" w:cs="Segoe UI"/>
        </w:rPr>
      </w:pPr>
      <w:hyperlink r:id="rId7" w:history="1">
        <w:r w:rsidR="1BAF0A04" w:rsidRPr="00F21611">
          <w:rPr>
            <w:rStyle w:val="Hyperlink"/>
            <w:rFonts w:ascii="Segoe UI" w:eastAsia="Segoe UI" w:hAnsi="Segoe UI" w:cs="Segoe UI"/>
          </w:rPr>
          <w:t>The National Academy for Social Prescribing</w:t>
        </w:r>
      </w:hyperlink>
      <w:r w:rsidR="1BAF0A04" w:rsidRPr="31E5DFE6">
        <w:rPr>
          <w:rFonts w:ascii="Segoe UI" w:eastAsia="Segoe UI" w:hAnsi="Segoe UI" w:cs="Segoe UI"/>
        </w:rPr>
        <w:t xml:space="preserve"> is celebrating people, organisations and communities who make social prescribing happen.</w:t>
      </w:r>
    </w:p>
    <w:p w14:paraId="6C8C0BE8" w14:textId="63113480" w:rsidR="00FD3EB3" w:rsidRDefault="56B7AC7F" w:rsidP="31E5DFE6">
      <w:pPr>
        <w:rPr>
          <w:rFonts w:ascii="Segoe UI" w:eastAsia="Segoe UI" w:hAnsi="Segoe UI" w:cs="Segoe UI"/>
        </w:rPr>
      </w:pPr>
      <w:r w:rsidRPr="31E5DFE6">
        <w:rPr>
          <w:rFonts w:ascii="Segoe UI" w:eastAsia="Segoe UI" w:hAnsi="Segoe UI" w:cs="Segoe UI"/>
        </w:rPr>
        <w:t>Across Grampian there are several social prescribing projects</w:t>
      </w:r>
      <w:r w:rsidR="2F3BF546" w:rsidRPr="31E5DFE6">
        <w:rPr>
          <w:rFonts w:ascii="Segoe UI" w:eastAsia="Segoe UI" w:hAnsi="Segoe UI" w:cs="Segoe UI"/>
        </w:rPr>
        <w:t xml:space="preserve"> </w:t>
      </w:r>
      <w:r w:rsidR="44013F22" w:rsidRPr="31E5DFE6">
        <w:rPr>
          <w:rFonts w:ascii="Segoe UI" w:eastAsia="Segoe UI" w:hAnsi="Segoe UI" w:cs="Segoe UI"/>
        </w:rPr>
        <w:t xml:space="preserve">taking place </w:t>
      </w:r>
      <w:r w:rsidR="2F3BF546" w:rsidRPr="31E5DFE6">
        <w:rPr>
          <w:rFonts w:ascii="Segoe UI" w:eastAsia="Segoe UI" w:hAnsi="Segoe UI" w:cs="Segoe UI"/>
        </w:rPr>
        <w:t xml:space="preserve">whether as part of the National GP Link Worker Programme </w:t>
      </w:r>
      <w:r w:rsidR="48636A02" w:rsidRPr="31E5DFE6">
        <w:rPr>
          <w:rFonts w:ascii="Segoe UI" w:eastAsia="Segoe UI" w:hAnsi="Segoe UI" w:cs="Segoe UI"/>
        </w:rPr>
        <w:t>or piloting further aspects of social prescribing to connect people into non-medical</w:t>
      </w:r>
      <w:r w:rsidR="00343D22" w:rsidRPr="31E5DFE6">
        <w:rPr>
          <w:rFonts w:ascii="Segoe UI" w:eastAsia="Segoe UI" w:hAnsi="Segoe UI" w:cs="Segoe UI"/>
        </w:rPr>
        <w:t xml:space="preserve"> support.</w:t>
      </w:r>
    </w:p>
    <w:p w14:paraId="645D0DF8" w14:textId="6710E166" w:rsidR="00573B51" w:rsidRDefault="00F21611" w:rsidP="00573B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history="1">
        <w:r w:rsidR="00573B51" w:rsidRPr="00DD092D">
          <w:rPr>
            <w:rStyle w:val="Hyperlink"/>
            <w:rFonts w:ascii="Segoe UI" w:eastAsiaTheme="majorEastAsia" w:hAnsi="Segoe UI" w:cs="Segoe UI"/>
          </w:rPr>
          <w:t>The North East Place and Wellbeing Network</w:t>
        </w:r>
      </w:hyperlink>
      <w:r w:rsidR="00573B51">
        <w:rPr>
          <w:rStyle w:val="normaltextrun"/>
          <w:rFonts w:ascii="Segoe UI" w:eastAsiaTheme="majorEastAsia" w:hAnsi="Segoe UI" w:cs="Segoe UI"/>
        </w:rPr>
        <w:t xml:space="preserve"> has been focusing over the past year to explore the obstacles and challenges in setting up a model of practice to enable a ‘Social Prescription’ to take place.</w:t>
      </w:r>
      <w:r w:rsidR="00573B51">
        <w:rPr>
          <w:rStyle w:val="eop"/>
          <w:rFonts w:ascii="Segoe UI" w:eastAsiaTheme="majorEastAsia" w:hAnsi="Segoe UI" w:cs="Segoe UI"/>
        </w:rPr>
        <w:t> </w:t>
      </w:r>
    </w:p>
    <w:p w14:paraId="60EDD31C" w14:textId="77777777" w:rsidR="00573B51" w:rsidRDefault="00573B51" w:rsidP="00573B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eastAsiaTheme="majorEastAsia" w:hAnsi="Segoe UI" w:cs="Segoe UI"/>
        </w:rPr>
        <w:t> </w:t>
      </w:r>
    </w:p>
    <w:p w14:paraId="1EC8C838" w14:textId="4E0388B6" w:rsidR="00573B51" w:rsidRDefault="00C87FE1" w:rsidP="00573B5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eastAsiaTheme="majorEastAsia" w:hAnsi="Segoe UI" w:cs="Segoe UI"/>
        </w:rPr>
        <w:t>Social Prescribing is an interchangeable phrase and to fully understand what we mean when we refer to social prescribing we need to look at the international understanding of social prescribing</w:t>
      </w:r>
      <w:r w:rsidR="004443E4">
        <w:rPr>
          <w:rStyle w:val="normaltextrun"/>
          <w:rFonts w:ascii="Segoe UI" w:eastAsiaTheme="majorEastAsia" w:hAnsi="Segoe UI" w:cs="Segoe UI"/>
        </w:rPr>
        <w:t>.</w:t>
      </w:r>
      <w:r>
        <w:rPr>
          <w:rStyle w:val="normaltextrun"/>
          <w:rFonts w:ascii="Segoe UI" w:eastAsiaTheme="majorEastAsia" w:hAnsi="Segoe UI" w:cs="Segoe UI"/>
        </w:rPr>
        <w:t xml:space="preserve"> </w:t>
      </w:r>
    </w:p>
    <w:p w14:paraId="3612649E" w14:textId="6F2413D2" w:rsidR="00FD3EB3" w:rsidRDefault="00FD3EB3" w:rsidP="31E5DFE6">
      <w:pPr>
        <w:rPr>
          <w:rFonts w:ascii="Segoe UI" w:eastAsia="Segoe UI" w:hAnsi="Segoe UI" w:cs="Segoe UI"/>
        </w:rPr>
      </w:pPr>
    </w:p>
    <w:p w14:paraId="5D89A9A8" w14:textId="77777777" w:rsidR="00C87FE1" w:rsidRPr="00C87FE1" w:rsidRDefault="00C87FE1" w:rsidP="00C87FE1">
      <w:pPr>
        <w:rPr>
          <w:rFonts w:ascii="Segoe UI" w:eastAsia="Segoe UI" w:hAnsi="Segoe UI" w:cs="Segoe UI"/>
        </w:rPr>
      </w:pPr>
      <w:r w:rsidRPr="00C87FE1">
        <w:rPr>
          <w:rFonts w:ascii="Segoe UI" w:eastAsia="Segoe UI" w:hAnsi="Segoe UI" w:cs="Segoe UI"/>
        </w:rPr>
        <w:t>Social prescribing is…</w:t>
      </w:r>
    </w:p>
    <w:p w14:paraId="758961F0" w14:textId="77777777" w:rsidR="00C87FE1" w:rsidRDefault="00C87FE1" w:rsidP="00C87FE1">
      <w:pPr>
        <w:rPr>
          <w:rFonts w:ascii="Segoe UI" w:eastAsia="Segoe UI" w:hAnsi="Segoe UI" w:cs="Segoe UI"/>
          <w:b/>
          <w:bCs/>
        </w:rPr>
      </w:pPr>
      <w:r w:rsidRPr="004443E4">
        <w:rPr>
          <w:rFonts w:ascii="Segoe UI" w:eastAsia="Segoe UI" w:hAnsi="Segoe UI" w:cs="Segoe UI"/>
          <w:i/>
        </w:rPr>
        <w:t>‘a means for trusted individuals in clinical and community settings to identify that a person has non-medical, health-related social needs and to subsequently connect them to non-clinical supports and services within the community by co-producing a social prescription—a non-medical prescription, to improve health and well-being and to strengthen community connections.’</w:t>
      </w:r>
      <w:r>
        <w:rPr>
          <w:rFonts w:ascii="Segoe UI" w:eastAsia="Segoe UI" w:hAnsi="Segoe UI" w:cs="Segoe UI"/>
        </w:rPr>
        <w:t xml:space="preserve"> </w:t>
      </w:r>
      <w:r w:rsidRPr="00C87FE1">
        <w:rPr>
          <w:rFonts w:ascii="Segoe UI" w:eastAsia="Segoe UI" w:hAnsi="Segoe UI" w:cs="Segoe UI"/>
          <w:b/>
          <w:bCs/>
        </w:rPr>
        <w:t xml:space="preserve">Caitlin </w:t>
      </w:r>
      <w:proofErr w:type="spellStart"/>
      <w:r w:rsidRPr="00C87FE1">
        <w:rPr>
          <w:rFonts w:ascii="Segoe UI" w:eastAsia="Segoe UI" w:hAnsi="Segoe UI" w:cs="Segoe UI"/>
          <w:b/>
          <w:bCs/>
        </w:rPr>
        <w:t>Muhl</w:t>
      </w:r>
      <w:proofErr w:type="spellEnd"/>
      <w:r w:rsidRPr="00C87FE1">
        <w:rPr>
          <w:rFonts w:ascii="Segoe UI" w:eastAsia="Segoe UI" w:hAnsi="Segoe UI" w:cs="Segoe UI"/>
          <w:b/>
          <w:bCs/>
        </w:rPr>
        <w:t xml:space="preserve"> et al. BMJ Open 2023</w:t>
      </w:r>
      <w:proofErr w:type="gramStart"/>
      <w:r w:rsidRPr="00C87FE1">
        <w:rPr>
          <w:rFonts w:ascii="Segoe UI" w:eastAsia="Segoe UI" w:hAnsi="Segoe UI" w:cs="Segoe UI"/>
          <w:b/>
          <w:bCs/>
        </w:rPr>
        <w:t>;13:e070184</w:t>
      </w:r>
      <w:proofErr w:type="gramEnd"/>
    </w:p>
    <w:p w14:paraId="0ABF12D3" w14:textId="77777777" w:rsidR="00C87FE1" w:rsidRDefault="00C87FE1" w:rsidP="00C87FE1">
      <w:pPr>
        <w:rPr>
          <w:rFonts w:ascii="Segoe UI" w:eastAsia="Segoe UI" w:hAnsi="Segoe UI" w:cs="Segoe UI"/>
          <w:b/>
          <w:bCs/>
        </w:rPr>
      </w:pPr>
    </w:p>
    <w:p w14:paraId="16205304" w14:textId="77777777" w:rsidR="009C3A53" w:rsidRDefault="009C3A53" w:rsidP="00C87FE1">
      <w:pPr>
        <w:rPr>
          <w:rFonts w:ascii="Segoe UI" w:eastAsia="Segoe UI" w:hAnsi="Segoe UI" w:cs="Segoe UI"/>
          <w:b/>
          <w:bCs/>
        </w:rPr>
      </w:pPr>
    </w:p>
    <w:p w14:paraId="711D8D7A" w14:textId="77777777" w:rsidR="009C3A53" w:rsidRDefault="009C3A53" w:rsidP="00C87FE1">
      <w:pPr>
        <w:rPr>
          <w:rFonts w:ascii="Segoe UI" w:eastAsia="Segoe UI" w:hAnsi="Segoe UI" w:cs="Segoe UI"/>
          <w:b/>
          <w:bCs/>
        </w:rPr>
      </w:pPr>
    </w:p>
    <w:p w14:paraId="5F41CF9D" w14:textId="21F1E7EB" w:rsidR="00C87FE1" w:rsidRDefault="00DD092D" w:rsidP="00C87FE1">
      <w:pPr>
        <w:rPr>
          <w:rFonts w:ascii="Segoe UI" w:eastAsia="Segoe UI" w:hAnsi="Segoe UI" w:cs="Segoe UI"/>
          <w:b/>
          <w:bCs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7A4CC129" wp14:editId="0199BA80">
            <wp:simplePos x="0" y="0"/>
            <wp:positionH relativeFrom="page">
              <wp:posOffset>4142740</wp:posOffset>
            </wp:positionH>
            <wp:positionV relativeFrom="paragraph">
              <wp:posOffset>283845</wp:posOffset>
            </wp:positionV>
            <wp:extent cx="2992628" cy="1739900"/>
            <wp:effectExtent l="0" t="0" r="0" b="0"/>
            <wp:wrapNone/>
            <wp:docPr id="1610220793" name="Picture 1610220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628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A53" w:rsidRPr="009C3A53">
        <w:rPr>
          <w:rFonts w:ascii="Segoe UI" w:eastAsia="Segoe UI" w:hAnsi="Segoe UI" w:cs="Segoe UI"/>
          <w:b/>
          <w:bCs/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EDF402" wp14:editId="585AF252">
                <wp:simplePos x="0" y="0"/>
                <wp:positionH relativeFrom="column">
                  <wp:posOffset>-120650</wp:posOffset>
                </wp:positionH>
                <wp:positionV relativeFrom="paragraph">
                  <wp:posOffset>220345</wp:posOffset>
                </wp:positionV>
                <wp:extent cx="3168650" cy="2063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7E431" w14:textId="77777777" w:rsidR="009C3A53" w:rsidRPr="00C87FE1" w:rsidRDefault="009C3A53" w:rsidP="009C3A53">
                            <w:pPr>
                              <w:rPr>
                                <w:rFonts w:ascii="Segoe UI" w:eastAsia="Segoe UI" w:hAnsi="Segoe UI" w:cs="Segoe UI"/>
                              </w:rPr>
                            </w:pPr>
                            <w:r w:rsidRPr="00C87FE1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The Identifier</w:t>
                            </w:r>
                            <w:r w:rsidRPr="00C87FE1">
                              <w:rPr>
                                <w:rFonts w:ascii="Segoe UI" w:eastAsia="Segoe UI" w:hAnsi="Segoe UI" w:cs="Segoe UI"/>
                              </w:rPr>
                              <w:t xml:space="preserve"> – Identifies the person has non-medical, health-related social needs e.g. issues with housing, food, employment, income, social support.</w:t>
                            </w:r>
                          </w:p>
                          <w:p w14:paraId="3749FA2D" w14:textId="77777777" w:rsidR="009C3A53" w:rsidRPr="00C87FE1" w:rsidRDefault="009C3A53" w:rsidP="009C3A53">
                            <w:pPr>
                              <w:rPr>
                                <w:rFonts w:ascii="Segoe UI" w:eastAsia="Segoe UI" w:hAnsi="Segoe UI" w:cs="Segoe UI"/>
                              </w:rPr>
                            </w:pPr>
                            <w:r w:rsidRPr="00C87FE1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The Connector</w:t>
                            </w:r>
                            <w:r w:rsidRPr="00C87FE1">
                              <w:rPr>
                                <w:rFonts w:ascii="Segoe UI" w:eastAsia="Segoe UI" w:hAnsi="Segoe UI" w:cs="Segoe UI"/>
                              </w:rPr>
                              <w:t xml:space="preserve"> – Connects the person to non-clinical support and services within the community by co-producing a non-medical prescription.</w:t>
                            </w:r>
                          </w:p>
                          <w:p w14:paraId="6663C55E" w14:textId="5F4EA532" w:rsidR="009C3A53" w:rsidRPr="00C87FE1" w:rsidRDefault="009C3A53" w:rsidP="009C3A53">
                            <w:pPr>
                              <w:rPr>
                                <w:rFonts w:ascii="Segoe UI" w:eastAsia="Segoe UI" w:hAnsi="Segoe UI" w:cs="Segoe UI"/>
                              </w:rPr>
                            </w:pPr>
                          </w:p>
                          <w:p w14:paraId="515E3A3E" w14:textId="5995310F" w:rsidR="009C3A53" w:rsidRDefault="009C3A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DF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5pt;margin-top:17.35pt;width:249.5pt;height:1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" stroked="f">
                <v:textbox>
                  <w:txbxContent>
                    <w:p w14:paraId="4B87E431" w14:textId="77777777" w:rsidR="009C3A53" w:rsidRPr="00C87FE1" w:rsidRDefault="009C3A53" w:rsidP="009C3A53">
                      <w:pPr>
                        <w:rPr>
                          <w:rFonts w:ascii="Segoe UI" w:eastAsia="Segoe UI" w:hAnsi="Segoe UI" w:cs="Segoe UI"/>
                        </w:rPr>
                      </w:pPr>
                      <w:r w:rsidRPr="00C87FE1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</w:rPr>
                        <w:t>The Identifier</w:t>
                      </w:r>
                      <w:r w:rsidRPr="00C87FE1">
                        <w:rPr>
                          <w:rFonts w:ascii="Segoe UI" w:eastAsia="Segoe UI" w:hAnsi="Segoe UI" w:cs="Segoe UI"/>
                        </w:rPr>
                        <w:t xml:space="preserve"> – Identifies the person has non-medical, health-related social needs e.g. issues with housing, food, employment, income, social support.</w:t>
                      </w:r>
                    </w:p>
                    <w:p w14:paraId="3749FA2D" w14:textId="77777777" w:rsidR="009C3A53" w:rsidRPr="00C87FE1" w:rsidRDefault="009C3A53" w:rsidP="009C3A53">
                      <w:pPr>
                        <w:rPr>
                          <w:rFonts w:ascii="Segoe UI" w:eastAsia="Segoe UI" w:hAnsi="Segoe UI" w:cs="Segoe UI"/>
                        </w:rPr>
                      </w:pPr>
                      <w:r w:rsidRPr="00C87FE1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</w:rPr>
                        <w:t>The Connector</w:t>
                      </w:r>
                      <w:r w:rsidRPr="00C87FE1">
                        <w:rPr>
                          <w:rFonts w:ascii="Segoe UI" w:eastAsia="Segoe UI" w:hAnsi="Segoe UI" w:cs="Segoe UI"/>
                        </w:rPr>
                        <w:t xml:space="preserve"> – Connects the person to non-clinical support and services within the community by co-producing a non-medical prescription.</w:t>
                      </w:r>
                    </w:p>
                    <w:p w14:paraId="6663C55E" w14:textId="5F4EA532" w:rsidR="009C3A53" w:rsidRPr="00C87FE1" w:rsidRDefault="009C3A53" w:rsidP="009C3A53">
                      <w:pPr>
                        <w:rPr>
                          <w:rFonts w:ascii="Segoe UI" w:eastAsia="Segoe UI" w:hAnsi="Segoe UI" w:cs="Segoe UI"/>
                        </w:rPr>
                      </w:pPr>
                    </w:p>
                    <w:p w14:paraId="515E3A3E" w14:textId="5995310F" w:rsidR="009C3A53" w:rsidRDefault="009C3A53"/>
                  </w:txbxContent>
                </v:textbox>
              </v:shape>
            </w:pict>
          </mc:Fallback>
        </mc:AlternateContent>
      </w:r>
      <w:r w:rsidR="00C87FE1">
        <w:rPr>
          <w:rFonts w:ascii="Segoe UI" w:eastAsia="Segoe UI" w:hAnsi="Segoe UI" w:cs="Segoe UI"/>
          <w:b/>
          <w:bCs/>
        </w:rPr>
        <w:t>There are four key roles:</w:t>
      </w:r>
    </w:p>
    <w:p w14:paraId="1EA61126" w14:textId="2D3733BA" w:rsidR="009C3A53" w:rsidRDefault="009C3A53" w:rsidP="00C87FE1">
      <w:pPr>
        <w:rPr>
          <w:rFonts w:ascii="Segoe UI" w:eastAsia="Segoe UI" w:hAnsi="Segoe UI" w:cs="Segoe UI"/>
          <w:b/>
          <w:bCs/>
        </w:rPr>
      </w:pPr>
    </w:p>
    <w:p w14:paraId="63ECA8E8" w14:textId="79E4311B" w:rsidR="009C3A53" w:rsidRDefault="009C3A53" w:rsidP="00C87FE1">
      <w:pPr>
        <w:rPr>
          <w:rFonts w:ascii="Segoe UI" w:eastAsia="Segoe UI" w:hAnsi="Segoe UI" w:cs="Segoe UI"/>
          <w:b/>
          <w:bCs/>
        </w:rPr>
      </w:pPr>
    </w:p>
    <w:p w14:paraId="0918BEC6" w14:textId="0C15AEBD" w:rsidR="009C3A53" w:rsidRDefault="009C3A53" w:rsidP="00C87FE1">
      <w:pPr>
        <w:rPr>
          <w:rFonts w:ascii="Segoe UI" w:eastAsia="Segoe UI" w:hAnsi="Segoe UI" w:cs="Segoe UI"/>
          <w:b/>
          <w:bCs/>
        </w:rPr>
      </w:pPr>
    </w:p>
    <w:p w14:paraId="155B7A63" w14:textId="37DAB477" w:rsidR="009C3A53" w:rsidRDefault="009C3A53" w:rsidP="00C87FE1">
      <w:pPr>
        <w:rPr>
          <w:rFonts w:ascii="Segoe UI" w:eastAsia="Segoe UI" w:hAnsi="Segoe UI" w:cs="Segoe UI"/>
          <w:b/>
          <w:bCs/>
        </w:rPr>
      </w:pPr>
    </w:p>
    <w:p w14:paraId="7172F43D" w14:textId="784F4D20" w:rsidR="009C3A53" w:rsidRDefault="009C3A53" w:rsidP="00C87FE1">
      <w:pPr>
        <w:rPr>
          <w:rFonts w:ascii="Segoe UI" w:eastAsia="Segoe UI" w:hAnsi="Segoe UI" w:cs="Segoe UI"/>
          <w:b/>
          <w:bCs/>
        </w:rPr>
      </w:pPr>
    </w:p>
    <w:p w14:paraId="6210C4EA" w14:textId="154EC98D" w:rsidR="009C3A53" w:rsidRDefault="009C3A53" w:rsidP="00C87FE1">
      <w:pPr>
        <w:rPr>
          <w:rFonts w:ascii="Segoe UI" w:eastAsia="Segoe UI" w:hAnsi="Segoe UI" w:cs="Segoe UI"/>
          <w:b/>
          <w:bCs/>
        </w:rPr>
      </w:pPr>
      <w:r w:rsidRPr="009C3A53">
        <w:rPr>
          <w:rFonts w:ascii="Segoe UI" w:eastAsia="Segoe UI" w:hAnsi="Segoe UI" w:cs="Segoe UI"/>
          <w:b/>
          <w:bCs/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6CCDFF" wp14:editId="569450D6">
                <wp:simplePos x="0" y="0"/>
                <wp:positionH relativeFrom="margin">
                  <wp:posOffset>-101600</wp:posOffset>
                </wp:positionH>
                <wp:positionV relativeFrom="paragraph">
                  <wp:posOffset>203200</wp:posOffset>
                </wp:positionV>
                <wp:extent cx="6381750" cy="9080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A886" w14:textId="77777777" w:rsidR="009C3A53" w:rsidRPr="00C87FE1" w:rsidRDefault="009C3A53" w:rsidP="009C3A53">
                            <w:pPr>
                              <w:rPr>
                                <w:rFonts w:ascii="Segoe UI" w:eastAsia="Segoe UI" w:hAnsi="Segoe UI" w:cs="Segoe UI"/>
                              </w:rPr>
                            </w:pPr>
                            <w:r w:rsidRPr="00C87FE1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The Service User</w:t>
                            </w:r>
                            <w:r w:rsidRPr="00C87FE1">
                              <w:rPr>
                                <w:rFonts w:ascii="Segoe UI" w:eastAsia="Segoe UI" w:hAnsi="Segoe UI" w:cs="Segoe UI"/>
                              </w:rPr>
                              <w:t xml:space="preserve"> – The Service User is the person requiring the non-medical support.</w:t>
                            </w:r>
                          </w:p>
                          <w:p w14:paraId="4942DF84" w14:textId="77777777" w:rsidR="009C3A53" w:rsidRPr="00C87FE1" w:rsidRDefault="009C3A53" w:rsidP="009C3A53">
                            <w:pPr>
                              <w:rPr>
                                <w:rFonts w:ascii="Segoe UI" w:eastAsia="Segoe UI" w:hAnsi="Segoe UI" w:cs="Segoe UI"/>
                              </w:rPr>
                            </w:pPr>
                            <w:r w:rsidRPr="00C87FE1">
                              <w:rPr>
                                <w:rFonts w:ascii="Segoe UI" w:eastAsia="Segoe UI" w:hAnsi="Segoe UI" w:cs="Segoe UI"/>
                                <w:b/>
                                <w:bCs/>
                                <w:i/>
                                <w:iCs/>
                              </w:rPr>
                              <w:t>The Service Provider</w:t>
                            </w:r>
                            <w:r w:rsidRPr="00C87FE1">
                              <w:rPr>
                                <w:rFonts w:ascii="Segoe UI" w:eastAsia="Segoe UI" w:hAnsi="Segoe UI" w:cs="Segoe UI"/>
                              </w:rPr>
                              <w:t xml:space="preserve"> – The Service Provider is the agency or group providing the non-medical support.</w:t>
                            </w:r>
                          </w:p>
                          <w:p w14:paraId="2585A5B1" w14:textId="77777777" w:rsidR="009C3A53" w:rsidRDefault="009C3A53" w:rsidP="009C3A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CDFF" id="_x0000_s1027" type="#_x0000_t202" style="position:absolute;margin-left:-8pt;margin-top:16pt;width:502.5pt;height:7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" stroked="f">
                <v:textbox>
                  <w:txbxContent>
                    <w:p w14:paraId="0F79A886" w14:textId="77777777" w:rsidR="009C3A53" w:rsidRPr="00C87FE1" w:rsidRDefault="009C3A53" w:rsidP="009C3A53">
                      <w:pPr>
                        <w:rPr>
                          <w:rFonts w:ascii="Segoe UI" w:eastAsia="Segoe UI" w:hAnsi="Segoe UI" w:cs="Segoe UI"/>
                        </w:rPr>
                      </w:pPr>
                      <w:r w:rsidRPr="00C87FE1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</w:rPr>
                        <w:t>The Service User</w:t>
                      </w:r>
                      <w:r w:rsidRPr="00C87FE1">
                        <w:rPr>
                          <w:rFonts w:ascii="Segoe UI" w:eastAsia="Segoe UI" w:hAnsi="Segoe UI" w:cs="Segoe UI"/>
                        </w:rPr>
                        <w:t xml:space="preserve"> – The Service User is the person requiring the non-medical support.</w:t>
                      </w:r>
                    </w:p>
                    <w:p w14:paraId="4942DF84" w14:textId="77777777" w:rsidR="009C3A53" w:rsidRPr="00C87FE1" w:rsidRDefault="009C3A53" w:rsidP="009C3A53">
                      <w:pPr>
                        <w:rPr>
                          <w:rFonts w:ascii="Segoe UI" w:eastAsia="Segoe UI" w:hAnsi="Segoe UI" w:cs="Segoe UI"/>
                        </w:rPr>
                      </w:pPr>
                      <w:r w:rsidRPr="00C87FE1">
                        <w:rPr>
                          <w:rFonts w:ascii="Segoe UI" w:eastAsia="Segoe UI" w:hAnsi="Segoe UI" w:cs="Segoe UI"/>
                          <w:b/>
                          <w:bCs/>
                          <w:i/>
                          <w:iCs/>
                        </w:rPr>
                        <w:t>The Service Provider</w:t>
                      </w:r>
                      <w:r w:rsidRPr="00C87FE1">
                        <w:rPr>
                          <w:rFonts w:ascii="Segoe UI" w:eastAsia="Segoe UI" w:hAnsi="Segoe UI" w:cs="Segoe UI"/>
                        </w:rPr>
                        <w:t xml:space="preserve"> – The Service Provider is the agency or group providing the non-medical support.</w:t>
                      </w:r>
                    </w:p>
                    <w:p w14:paraId="2585A5B1" w14:textId="77777777" w:rsidR="009C3A53" w:rsidRDefault="009C3A53" w:rsidP="009C3A53"/>
                  </w:txbxContent>
                </v:textbox>
                <w10:wrap anchorx="margin"/>
              </v:shape>
            </w:pict>
          </mc:Fallback>
        </mc:AlternateContent>
      </w:r>
    </w:p>
    <w:p w14:paraId="385F2F7B" w14:textId="19F8CA36" w:rsidR="009C3A53" w:rsidRDefault="009C3A53" w:rsidP="00C87FE1">
      <w:pPr>
        <w:rPr>
          <w:rFonts w:ascii="Segoe UI" w:eastAsia="Segoe UI" w:hAnsi="Segoe UI" w:cs="Segoe UI"/>
          <w:b/>
          <w:bCs/>
        </w:rPr>
      </w:pPr>
    </w:p>
    <w:p w14:paraId="36AD5FCB" w14:textId="786FA79B" w:rsidR="009C3A53" w:rsidRPr="00C87FE1" w:rsidRDefault="009C3A53" w:rsidP="00C87FE1">
      <w:pPr>
        <w:rPr>
          <w:rFonts w:ascii="Segoe UI" w:eastAsia="Segoe UI" w:hAnsi="Segoe UI" w:cs="Segoe UI"/>
        </w:rPr>
      </w:pPr>
    </w:p>
    <w:p w14:paraId="02C70189" w14:textId="1C80E7DB" w:rsidR="009C3A53" w:rsidRDefault="009C3A53" w:rsidP="00C87FE1">
      <w:pPr>
        <w:rPr>
          <w:rFonts w:ascii="Segoe UI" w:eastAsia="Segoe UI" w:hAnsi="Segoe UI" w:cs="Segoe UI"/>
        </w:rPr>
      </w:pPr>
    </w:p>
    <w:p w14:paraId="053E7085" w14:textId="52F12F94" w:rsidR="00C87FE1" w:rsidRDefault="00C87FE1" w:rsidP="00C87FE1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At one end of the spectrum social prescribing can be a simple </w:t>
      </w:r>
      <w:r w:rsidR="001C07C1">
        <w:rPr>
          <w:rFonts w:ascii="Segoe UI" w:eastAsia="Segoe UI" w:hAnsi="Segoe UI" w:cs="Segoe UI"/>
        </w:rPr>
        <w:t xml:space="preserve">informal </w:t>
      </w:r>
      <w:r>
        <w:rPr>
          <w:rFonts w:ascii="Segoe UI" w:eastAsia="Segoe UI" w:hAnsi="Segoe UI" w:cs="Segoe UI"/>
        </w:rPr>
        <w:t>‘sign-post’</w:t>
      </w:r>
      <w:r w:rsidR="00DD092D">
        <w:rPr>
          <w:rFonts w:ascii="Segoe UI" w:eastAsia="Segoe UI" w:hAnsi="Segoe UI" w:cs="Segoe UI"/>
        </w:rPr>
        <w:t xml:space="preserve"> whether by a friend, </w:t>
      </w:r>
      <w:r>
        <w:rPr>
          <w:rFonts w:ascii="Segoe UI" w:eastAsia="Segoe UI" w:hAnsi="Segoe UI" w:cs="Segoe UI"/>
        </w:rPr>
        <w:t>family member, a member of the community or even a health care professional. The other end of the spectrum of social prescribing is an actual referral from a health care professional</w:t>
      </w:r>
      <w:r w:rsidR="001C07C1">
        <w:rPr>
          <w:rFonts w:ascii="Segoe UI" w:eastAsia="Segoe UI" w:hAnsi="Segoe UI" w:cs="Segoe UI"/>
        </w:rPr>
        <w:t>/link worker</w:t>
      </w:r>
      <w:r>
        <w:rPr>
          <w:rFonts w:ascii="Segoe UI" w:eastAsia="Segoe UI" w:hAnsi="Segoe UI" w:cs="Segoe UI"/>
        </w:rPr>
        <w:t xml:space="preserve"> and passing relevant </w:t>
      </w:r>
      <w:r w:rsidR="001C07C1">
        <w:rPr>
          <w:rFonts w:ascii="Segoe UI" w:eastAsia="Segoe UI" w:hAnsi="Segoe UI" w:cs="Segoe UI"/>
        </w:rPr>
        <w:t xml:space="preserve">and appropriate information about the person with full consent of the person to the community asset delivering the </w:t>
      </w:r>
      <w:r w:rsidR="00DD092D">
        <w:rPr>
          <w:rFonts w:ascii="Segoe UI" w:eastAsia="Segoe UI" w:hAnsi="Segoe UI" w:cs="Segoe UI"/>
        </w:rPr>
        <w:t xml:space="preserve">non-medical </w:t>
      </w:r>
      <w:r w:rsidR="001C07C1">
        <w:rPr>
          <w:rFonts w:ascii="Segoe UI" w:eastAsia="Segoe UI" w:hAnsi="Segoe UI" w:cs="Segoe UI"/>
        </w:rPr>
        <w:t>support.</w:t>
      </w:r>
    </w:p>
    <w:p w14:paraId="43CE234D" w14:textId="342D4C9D" w:rsidR="001C07C1" w:rsidRDefault="001C07C1" w:rsidP="00C87FE1">
      <w:pPr>
        <w:rPr>
          <w:rFonts w:ascii="Segoe UI" w:eastAsia="Segoe UI" w:hAnsi="Segoe UI" w:cs="Segoe UI"/>
        </w:rPr>
      </w:pPr>
      <w:r>
        <w:rPr>
          <w:noProof/>
          <w:lang w:eastAsia="en-GB"/>
        </w:rPr>
        <w:drawing>
          <wp:inline distT="0" distB="0" distL="0" distR="0" wp14:anchorId="3BD16808" wp14:editId="206CE776">
            <wp:extent cx="5731510" cy="31394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BF048" w14:textId="33F52D80" w:rsidR="00C87FE1" w:rsidRPr="00C87FE1" w:rsidRDefault="00C87FE1" w:rsidP="00C87FE1">
      <w:pPr>
        <w:rPr>
          <w:rFonts w:ascii="Segoe UI" w:eastAsia="Segoe UI" w:hAnsi="Segoe UI" w:cs="Segoe UI"/>
        </w:rPr>
      </w:pPr>
    </w:p>
    <w:p w14:paraId="29A07321" w14:textId="0ACCCAB6" w:rsidR="562193B5" w:rsidRPr="00DD092D" w:rsidRDefault="004443E4">
      <w:pPr>
        <w:rPr>
          <w:rFonts w:ascii="Segoe UI" w:eastAsia="Segoe UI" w:hAnsi="Segoe UI" w:cs="Segoe UI"/>
          <w:sz w:val="20"/>
          <w:szCs w:val="20"/>
        </w:rPr>
      </w:pPr>
      <w:r w:rsidRPr="00DD092D">
        <w:rPr>
          <w:rFonts w:ascii="Segoe UI" w:eastAsia="Segoe UI" w:hAnsi="Segoe UI" w:cs="Segoe UI"/>
          <w:sz w:val="20"/>
          <w:szCs w:val="20"/>
        </w:rPr>
        <w:t>If you are interested to learn more about some of the initiatives being developed across Grampian or would like to know more how to enable social prescribing in your community p</w:t>
      </w:r>
      <w:r w:rsidR="009C3A53" w:rsidRPr="00DD092D">
        <w:rPr>
          <w:rFonts w:ascii="Segoe UI" w:eastAsia="Segoe UI" w:hAnsi="Segoe UI" w:cs="Segoe UI"/>
          <w:sz w:val="20"/>
          <w:szCs w:val="20"/>
        </w:rPr>
        <w:t>lease get in touch alison.hannan2@nhs.scot</w:t>
      </w:r>
    </w:p>
    <w:sectPr w:rsidR="562193B5" w:rsidRPr="00DD092D" w:rsidSect="009C3A53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18F5"/>
    <w:multiLevelType w:val="hybridMultilevel"/>
    <w:tmpl w:val="300E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4749C5"/>
    <w:rsid w:val="001C07C1"/>
    <w:rsid w:val="00343D22"/>
    <w:rsid w:val="004443E4"/>
    <w:rsid w:val="00573B51"/>
    <w:rsid w:val="009C3A53"/>
    <w:rsid w:val="00C87FE1"/>
    <w:rsid w:val="00DD092D"/>
    <w:rsid w:val="00F21611"/>
    <w:rsid w:val="00FD3EB3"/>
    <w:rsid w:val="0510BA86"/>
    <w:rsid w:val="10FAC9E3"/>
    <w:rsid w:val="143A3698"/>
    <w:rsid w:val="1B949951"/>
    <w:rsid w:val="1BAF0A04"/>
    <w:rsid w:val="1E417F51"/>
    <w:rsid w:val="1F18171E"/>
    <w:rsid w:val="1F4749C5"/>
    <w:rsid w:val="26E22CE6"/>
    <w:rsid w:val="289AEB3A"/>
    <w:rsid w:val="28F4615C"/>
    <w:rsid w:val="2F3BF546"/>
    <w:rsid w:val="31E5DFE6"/>
    <w:rsid w:val="38817E33"/>
    <w:rsid w:val="4225D958"/>
    <w:rsid w:val="44013F22"/>
    <w:rsid w:val="4558B2C4"/>
    <w:rsid w:val="46728C5C"/>
    <w:rsid w:val="48636A02"/>
    <w:rsid w:val="4A67171D"/>
    <w:rsid w:val="4C5A9FCD"/>
    <w:rsid w:val="50CB93F9"/>
    <w:rsid w:val="55A0DD5D"/>
    <w:rsid w:val="562193B5"/>
    <w:rsid w:val="56B7AC7F"/>
    <w:rsid w:val="5F150E8B"/>
    <w:rsid w:val="65687ED7"/>
    <w:rsid w:val="67294B1C"/>
    <w:rsid w:val="69384F34"/>
    <w:rsid w:val="7B948DB9"/>
    <w:rsid w:val="7E2CC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49C5"/>
  <w15:chartTrackingRefBased/>
  <w15:docId w15:val="{58C7D790-C7F9-4CF8-80BB-7AE7210D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7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73B51"/>
  </w:style>
  <w:style w:type="character" w:customStyle="1" w:styleId="eop">
    <w:name w:val="eop"/>
    <w:basedOn w:val="DefaultParagraphFont"/>
    <w:rsid w:val="00573B51"/>
  </w:style>
  <w:style w:type="paragraph" w:styleId="NormalWeb">
    <w:name w:val="Normal (Web)"/>
    <w:basedOn w:val="Normal"/>
    <w:uiPriority w:val="99"/>
    <w:semiHidden/>
    <w:unhideWhenUsed/>
    <w:rsid w:val="00C87FE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4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4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grampian.org/about-us/planforthefuture/what-we-intend-to-do/places/examples-of-whats-good-in-grampian/the-north-east-place-and-wellbeing-networ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ialprescribingacademy.org.uk/what-is-social-prescribing/social-prescribing-day-20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Hannan (NHS Grampian)</dc:creator>
  <cp:keywords/>
  <dc:description/>
  <cp:lastModifiedBy>Alison Hannan (NHS Grampian)</cp:lastModifiedBy>
  <cp:revision>3</cp:revision>
  <dcterms:created xsi:type="dcterms:W3CDTF">2025-03-18T09:25:00Z</dcterms:created>
  <dcterms:modified xsi:type="dcterms:W3CDTF">2025-03-18T09:41:00Z</dcterms:modified>
</cp:coreProperties>
</file>